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object w:dxaOrig="9524" w:dyaOrig="11355">
          <v:rect xmlns:o="urn:schemas-microsoft-com:office:office" xmlns:v="urn:schemas-microsoft-com:vml" id="rectole0000000000" style="width:476.200000pt;height:567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основных образовательных программ дошкольного, начального общего, основного общего и среднего общего образования;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основных образовательных программ для детей с задержкой психического развития;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дополнительных образовательных программ по направленностям: научно-техническая, физкультурно-спортивная, художественно-эстетическая, туристско-краеведческая, эколого-биологическая;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образовательной программы профессиональной подготовки по профессии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тракторист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присмотр и уход за детьми в возрасте от 2 месяцев до 7 лет.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деятельности учреждения, не являющиеся основными: подвоз учащихся, организация питания, организация деятельности летней оздоровительной площадки, организация общественно-полезной деятельности обучающихся, предоставление услуг в электронном виде.</w:t>
      </w:r>
    </w:p>
    <w:p>
      <w:pPr>
        <w:tabs>
          <w:tab w:val="left" w:pos="12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Учреждение вправе оказывать дополнительные образовательные услуги, в том числе платные, за рамками соответствующих общеобразовательных программ и федеральных государственных образовательных стандартов: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спецкурсы по естественным наукам;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спецкурсы по информатике;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спецкурсы и тренинги по психологии;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спецкурсы по иностранным языкам;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занятия в клубах, студиях, кружках различной направленности;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профессиональная подготовка по профессии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Тракторист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индивидуальные занятия с обучающимися по предметам художественно-эстетического цикла;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репетиторство с обучающимися других образовательных учреждений;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курсы по подготовке выпускников школ к поступлению в средние специальные и высшие учебные заведения;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консультации для родителей с приглашением специалистов;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группы по адаптации детей к условиям школьной жизни;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проведение стажировок, семинаров для педагогических кадров;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проведение индивидуальных праздников и развлечений, организация экскурсий;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занятия с дошкольниками по подготовке к поступлению в 1 класс;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школа будущего первоклассника;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группы продленного дня;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создание и передача научной (научно-методической) продукции, объектов интеллектуальной собственности;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предоставление дистанционного обучения, оказание услуг по использованию Интернет;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консультации психолога;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психологическое тестирование с комментариями и рекомендациями;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логопедические услуги.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платных дополнительных услуг является открытым. Учреждение вправе осуществлять и иные платные дополнительные услуги, не противоречащие  действующему законодательству Российской Федерации. Порядок оказания платных образовательных услуг регламентируется соответствующим Положением Учреждения.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Учреждение вправе вести предпринимательскую и иную приносящую доход деятельность. К предпринимательской деятельности Учреждения относятся:</w:t>
      </w:r>
    </w:p>
    <w:p>
      <w:pPr>
        <w:widowControl w:val="fals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услуг общественного питания, связанных с производством и реализацией продукции, в том числе продуктов питания;</w:t>
      </w:r>
    </w:p>
    <w:p>
      <w:pPr>
        <w:widowControl w:val="false"/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транспортных услуг;</w:t>
      </w:r>
    </w:p>
    <w:p>
      <w:pPr>
        <w:widowControl w:val="false"/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продажа овощей и зернобобовых культур, выращенных на пришкольном и экспериментальных участках;</w:t>
      </w:r>
    </w:p>
    <w:p>
      <w:pPr>
        <w:widowControl w:val="false"/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и организация летнего оздоровительного отдыха детей, спортивной, физкультурно-оздоровительной и концертной деятельности;</w:t>
      </w:r>
    </w:p>
    <w:p>
      <w:pPr>
        <w:widowControl w:val="false"/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платных образовательных услуг: по профессии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Тракторист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граждан компьютерной грамотности;</w:t>
      </w:r>
    </w:p>
    <w:p>
      <w:pPr>
        <w:widowControl w:val="false"/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и проведение на базе школы консультаций, семинаров и конференций;</w:t>
      </w:r>
    </w:p>
    <w:p>
      <w:pPr>
        <w:numPr>
          <w:ilvl w:val="0"/>
          <w:numId w:val="9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торговля покупными товарами, оборудованием;</w:t>
      </w:r>
    </w:p>
    <w:p>
      <w:pPr>
        <w:numPr>
          <w:ilvl w:val="0"/>
          <w:numId w:val="9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изготовление и продажа сувенирной продукции, предметов быта;</w:t>
      </w:r>
    </w:p>
    <w:p>
      <w:pPr>
        <w:numPr>
          <w:ilvl w:val="0"/>
          <w:numId w:val="9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оказание посреднических услуг;</w:t>
      </w:r>
    </w:p>
    <w:p>
      <w:pPr>
        <w:numPr>
          <w:ilvl w:val="0"/>
          <w:numId w:val="9"/>
        </w:numPr>
        <w:tabs>
          <w:tab w:val="left" w:pos="3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ведение приносящих доход иных внереализационных операций, непосредственно не связанных с собственным производством предусмотренных Уставом продукции, работ, услуг и с их реализацией (аренда и пр.).</w:t>
      </w:r>
    </w:p>
    <w:p>
      <w:pPr>
        <w:widowControl w:val="false"/>
        <w:suppressAutoHyphens w:val="true"/>
        <w:spacing w:before="0" w:after="0" w:line="240"/>
        <w:ind w:right="0" w:left="142" w:firstLine="5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Доходы, полученные Учреждением от указанной деятельности, и приобретенное за счет этих доходов имущество поступают в самостоятельное распоряжение Учреждения.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ПОКАЗАТЕЛИ ФИНАНСОВОГО СОСТОЯНИЯ УЧРЕЖДЕНИЯ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7939"/>
        <w:gridCol w:w="1843"/>
      </w:tblGrid>
      <w:tr>
        <w:trPr>
          <w:trHeight w:val="240" w:hRule="auto"/>
          <w:jc w:val="left"/>
          <w:cantSplit w:val="1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показателя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</w:t>
            </w: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Нефинансовые активы, всего: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41 987 875,37</w:t>
            </w: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них:                  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балансовая стоимость недвижимого муниципального         </w:t>
              <w:br/>
              <w:t xml:space="preserve">имущества, всего         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31 610 596,81</w:t>
            </w: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             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 имущества, закрепленного собственником имущества  </w:t>
              <w:br/>
              <w:t xml:space="preserve">за муниципальным учреждением на праве оперативного управления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31 610 596,81</w:t>
            </w:r>
          </w:p>
        </w:tc>
      </w:tr>
      <w:tr>
        <w:trPr>
          <w:trHeight w:val="48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 имущества, приобретенного муниципальным           </w:t>
              <w:br/>
              <w:t xml:space="preserve">учреждением за счет выделенных собственником имущества учреждения  </w:t>
              <w:br/>
              <w:t xml:space="preserve">средств                  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 имущества, приобретенного муниципальным учреждением за счет доходов, полученных от платной и иной приносящей доход деятельности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Остаточная стоимость недвижимого муниципального имущества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249 690,33</w:t>
            </w:r>
          </w:p>
        </w:tc>
      </w:tr>
      <w:tr>
        <w:trPr>
          <w:trHeight w:val="36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балансовая стоимость движимого муниципального имущества,</w:t>
              <w:br/>
              <w:t xml:space="preserve">всего                    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10 377 278,56</w:t>
            </w: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             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балансовая стоимость особо ценного движимого имущества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4 443 285,89</w:t>
            </w: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Остаточная стоимость особо ценного движимого имущества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1 059 089,60</w:t>
            </w: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Финансовые активы, всего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- 2 569 844,58</w:t>
            </w: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них:                  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Дебиторская задолженность по доходам, полученным за счет      </w:t>
              <w:br/>
              <w:t xml:space="preserve">средств местного бюджета 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472 324,74</w:t>
            </w:r>
          </w:p>
        </w:tc>
      </w:tr>
      <w:tr>
        <w:trPr>
          <w:trHeight w:val="36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Дебиторская задолженность по выданным авансам, полученным     </w:t>
              <w:br/>
              <w:t xml:space="preserve">за счет средств бюджета Артинского городского округа, всего: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             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услуги связи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транспортные услуги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коммунальные услуги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услуги по содержанию имущества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прочие услуги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приобретение основных средств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приобретение нематериальных активов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приобретение непроизведенных активов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приобретение материальных запасов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2.2.10.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прочие расходы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Дебиторская задолженность по выданным авансам за счет доходов,</w:t>
              <w:br/>
              <w:t xml:space="preserve">полученных от платной и иной приносящей доход деятельности, всего: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172 521,07</w:t>
            </w: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             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услуги связи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транспортные услуги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коммунальные услуги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услуги по содержанию имущества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прочие услуги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приобретение основных средств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приобретение нематериальных активов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приобретение непроизведенных активов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приобретение материальных запасов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2.3.10.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выданным авансам на прочие расходы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Обязательства, всего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137 893,30</w:t>
            </w: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них:                  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Просроченная кредиторская задолженность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Кредиторская задолженность по расчетам с поставщиками и подрядчиками за счет средств бюджета Артинского городского округа, всего: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117 793,19</w:t>
            </w: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             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начислениям на выплаты по оплате труда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10 881,07</w:t>
            </w: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оплате услуг связи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оплате транспортных услуг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оплате коммунальных услуг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оплате услуг по содержанию имущества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оплате прочих услуг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приобретению основных средств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приобретению нематериальных активов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приобретению непроизведенных активов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3.2.10.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приобретению материальных запасов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оплате прочих расходов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3.2.12.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платежам в бюджет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6083,00</w:t>
            </w: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3.2.13.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прочим расчетам с кредиторами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1216,53</w:t>
            </w: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                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начислениям на выплаты по оплате труда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оплате услуг связи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оплате транспортных услуг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оплате коммунальных услуг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оплате услуг по содержанию имущества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оплате прочих услуг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приобретению основных средств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приобретению нематериальных активов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приобретению непроизведенных активов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3.3.10.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приобретению материальных запасов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оплате прочих расходов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3.3.12.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платежам в бюджет            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3.3.13.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прочим расчетам с кредиторами                          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1216,53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ПОКАЗАТЕЛИ ПО ПОСТУПЛЕНИЯМ И ВЫПЛАТАМ УЧРЕЖДЕНИЯ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836"/>
        <w:gridCol w:w="1700"/>
        <w:gridCol w:w="1560"/>
        <w:gridCol w:w="1985"/>
        <w:gridCol w:w="1559"/>
      </w:tblGrid>
      <w:tr>
        <w:trPr>
          <w:trHeight w:val="240" w:hRule="auto"/>
          <w:jc w:val="left"/>
          <w:cantSplit w:val="1"/>
        </w:trPr>
        <w:tc>
          <w:tcPr>
            <w:tcW w:w="2836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по бюджетной</w:t>
              <w:br/>
              <w:t xml:space="preserve">классификации  </w:t>
              <w:br/>
              <w:t xml:space="preserve">операции сектора</w:t>
              <w:br/>
              <w:t xml:space="preserve">государственного</w:t>
              <w:br/>
              <w:t xml:space="preserve">управления</w:t>
            </w:r>
          </w:p>
        </w:tc>
        <w:tc>
          <w:tcPr>
            <w:tcW w:w="156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354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</w:tr>
      <w:tr>
        <w:trPr>
          <w:trHeight w:val="1440" w:hRule="auto"/>
          <w:jc w:val="left"/>
        </w:trPr>
        <w:tc>
          <w:tcPr>
            <w:tcW w:w="2836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Операции     </w:t>
              <w:br/>
              <w:t xml:space="preserve">по лицевым    </w:t>
              <w:br/>
              <w:t xml:space="preserve">счетам, открытым </w:t>
              <w:br/>
              <w:t xml:space="preserve">в территориальных</w:t>
              <w:br/>
              <w:t xml:space="preserve">органах     </w:t>
              <w:br/>
              <w:t xml:space="preserve">Федерального   </w:t>
              <w:br/>
              <w:t xml:space="preserve">казначейства или </w:t>
              <w:br/>
              <w:t xml:space="preserve">финансовых    </w:t>
              <w:br/>
              <w:t xml:space="preserve">органах     </w:t>
              <w:br/>
              <w:t xml:space="preserve">муниципального  </w:t>
              <w:br/>
              <w:t xml:space="preserve">образования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операции   </w:t>
              <w:br/>
              <w:t xml:space="preserve">по счетам, </w:t>
              <w:br/>
              <w:t xml:space="preserve">открытым   </w:t>
              <w:br/>
              <w:t xml:space="preserve">в кредитных </w:t>
              <w:br/>
              <w:t xml:space="preserve">организациях</w:t>
            </w:r>
          </w:p>
        </w:tc>
      </w:tr>
      <w:tr>
        <w:trPr>
          <w:trHeight w:val="48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Планируемый остаток     </w:t>
              <w:br/>
              <w:t xml:space="preserve">средств на начало       </w:t>
              <w:br/>
              <w:t xml:space="preserve">планируемого года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 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74716,38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74716,38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Поступления, всего: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 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-21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30 305 992,00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30 305 992,00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  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 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Субсидии на выполнении  </w:t>
              <w:br/>
              <w:t xml:space="preserve">муниципального задания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 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10 501 300,00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10 501 300,00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Целевые субсидии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18 607 092,00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18 607 092,00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6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Поступления от оказания </w:t>
              <w:br/>
              <w:t xml:space="preserve">муниципальным           </w:t>
              <w:br/>
              <w:t xml:space="preserve">учреждением услуг     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 работ),     </w:t>
              <w:br/>
              <w:t xml:space="preserve">предоставление          </w:t>
              <w:br/>
              <w:t xml:space="preserve">которых для физических  </w:t>
              <w:br/>
              <w:t xml:space="preserve">и юридических лиц       </w:t>
              <w:br/>
              <w:t xml:space="preserve">осуществляется          </w:t>
              <w:br/>
              <w:t xml:space="preserve">на платной основе, всего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 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  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 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Услуга N 1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 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Услуга N 2    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 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Поступления от иной     </w:t>
              <w:br/>
              <w:t xml:space="preserve">приносящей доход        </w:t>
              <w:br/>
              <w:t xml:space="preserve">деятельности, всего: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 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1 197 600,00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1 197 600,00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  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 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родителей на питание детей в столовой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241 056,00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241 056,00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родителей за содержание детей в дошкольном учреждении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 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701 544,00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701 544,00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Питание сотрудников в школьной столовой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195 000,00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195 000,00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граждан пожилого возраста компьютерной грамотности 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Транспортные услуги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60000,00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60000,00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Планируемый остаток     </w:t>
              <w:br/>
              <w:t xml:space="preserve">средств на конец        </w:t>
              <w:br/>
              <w:t xml:space="preserve">планируемого года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 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Выплаты, всего: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900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30 380 708,38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30 380 708,38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  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Оплата труда и          </w:t>
              <w:br/>
              <w:t xml:space="preserve">начисления на выплаты   </w:t>
              <w:br/>
              <w:t xml:space="preserve">по оплате труда, всего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210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22 957 594,00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22 957 594,00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них:       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Заработная плата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211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17631784,00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17631784,00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Начисления на выплаты   </w:t>
              <w:br/>
              <w:t xml:space="preserve">по оплате труда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213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5 325 810,00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5 325 810,00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Оплата работ, услуг,    </w:t>
              <w:br/>
              <w:t xml:space="preserve">всего         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3 549 397,50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3 549 397,50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них:       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Услуги связи  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221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81 300,00 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81 300,00 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Транспортные услуги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222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Коммунальные услуги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223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3  071 700,70 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3  071 700,70 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Работы, услуги          </w:t>
              <w:br/>
              <w:t xml:space="preserve">по содержанию имущества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225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133 896,80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133896,80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работы, услуги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226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262 000,00 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262 000,00 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Социальное обеспечение, </w:t>
              <w:br/>
              <w:t xml:space="preserve">всего         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Пенсии, пособия,        </w:t>
              <w:br/>
              <w:t xml:space="preserve">выплачиваемые           </w:t>
              <w:br/>
              <w:t xml:space="preserve">организациями сектора   </w:t>
              <w:br/>
              <w:t xml:space="preserve">государственного        </w:t>
              <w:br/>
              <w:t xml:space="preserve">управления    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263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расходы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290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62 793,00 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62 793,00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Поступление нефинансовых</w:t>
              <w:br/>
              <w:t xml:space="preserve">активов, всего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300      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3 810 923,88 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3 810 923,88 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них:                 </w:t>
            </w:r>
          </w:p>
        </w:tc>
        <w:tc>
          <w:tcPr>
            <w:tcW w:w="1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675" w:dyaOrig="11160">
          <v:rect xmlns:o="urn:schemas-microsoft-com:office:office" xmlns:v="urn:schemas-microsoft-com:vml" id="rectole0000000001" style="width:483.750000pt;height:558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